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633D5403"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2C192F">
        <w:rPr>
          <w:rFonts w:asciiTheme="minorHAnsi" w:hAnsiTheme="minorHAnsi" w:cstheme="minorHAnsi"/>
        </w:rPr>
        <w:t>August 19</w:t>
      </w:r>
      <w:r w:rsidR="00A33B05">
        <w:rPr>
          <w:rFonts w:asciiTheme="minorHAnsi" w:hAnsiTheme="minorHAnsi" w:cstheme="minorHAnsi"/>
        </w:rPr>
        <w:t xml:space="preserve">, </w:t>
      </w:r>
      <w:r>
        <w:rPr>
          <w:rFonts w:asciiTheme="minorHAnsi" w:hAnsiTheme="minorHAnsi" w:cstheme="minorHAnsi"/>
        </w:rPr>
        <w:t>2020</w:t>
      </w:r>
    </w:p>
    <w:p w14:paraId="33BAD730" w14:textId="27D1345A" w:rsidR="00713887" w:rsidRDefault="00713887" w:rsidP="00B516F4">
      <w:pPr>
        <w:pStyle w:val="Heading1"/>
        <w:tabs>
          <w:tab w:val="left" w:pos="540"/>
        </w:tabs>
        <w:spacing w:before="66"/>
        <w:ind w:left="540" w:right="1013" w:firstLine="0"/>
        <w:rPr>
          <w:rFonts w:asciiTheme="minorHAnsi" w:hAnsiTheme="minorHAnsi" w:cstheme="minorHAnsi"/>
        </w:rPr>
      </w:pPr>
    </w:p>
    <w:p w14:paraId="5975CD68" w14:textId="0FCDB2C5" w:rsidR="007B6203" w:rsidRDefault="002C192F" w:rsidP="00F42C79">
      <w:pPr>
        <w:pStyle w:val="ListParagraph"/>
        <w:numPr>
          <w:ilvl w:val="0"/>
          <w:numId w:val="17"/>
        </w:numPr>
        <w:spacing w:line="259" w:lineRule="auto"/>
        <w:ind w:left="540" w:hanging="540"/>
        <w:rPr>
          <w:rFonts w:cstheme="minorHAnsi"/>
          <w:b/>
          <w:bCs/>
          <w:sz w:val="28"/>
          <w:szCs w:val="28"/>
        </w:rPr>
      </w:pPr>
      <w:r>
        <w:rPr>
          <w:rFonts w:cstheme="minorHAnsi"/>
          <w:b/>
          <w:bCs/>
          <w:sz w:val="28"/>
          <w:szCs w:val="28"/>
        </w:rPr>
        <w:t>My husband</w:t>
      </w:r>
      <w:r w:rsidRPr="002C192F">
        <w:rPr>
          <w:rFonts w:eastAsia="Times New Roman" w:cstheme="minorHAnsi"/>
          <w:color w:val="222222"/>
          <w:sz w:val="28"/>
          <w:szCs w:val="28"/>
        </w:rPr>
        <w:t xml:space="preserve"> </w:t>
      </w:r>
      <w:r w:rsidRPr="002C192F">
        <w:rPr>
          <w:rFonts w:cstheme="minorHAnsi"/>
          <w:b/>
          <w:bCs/>
          <w:sz w:val="28"/>
          <w:szCs w:val="28"/>
        </w:rPr>
        <w:t xml:space="preserve">is on hospice in an assisted living facility. What would happen if he develops COVID-19?  My husband’s facility sends all residents who develop COVID to the hospital, but I am wondering if that is what would happen to him since he is on hospice and would not receive active treatment for COVID at the hospital?  Couldn’t his facility quarantine my husband at his facility instead of sending him out to the hospital?  You answered this question in May, but I am wondering if anything has changed?  </w:t>
      </w:r>
      <w:r>
        <w:rPr>
          <w:rFonts w:cstheme="minorHAnsi"/>
          <w:b/>
          <w:bCs/>
          <w:sz w:val="28"/>
          <w:szCs w:val="28"/>
        </w:rPr>
        <w:t xml:space="preserve"> </w:t>
      </w:r>
    </w:p>
    <w:p w14:paraId="5C41E958" w14:textId="77777777" w:rsidR="007B6203" w:rsidRPr="007B6203" w:rsidRDefault="007B6203" w:rsidP="00F42C79">
      <w:pPr>
        <w:pStyle w:val="ListParagraph"/>
        <w:spacing w:line="259" w:lineRule="auto"/>
        <w:ind w:left="540"/>
        <w:rPr>
          <w:rFonts w:cstheme="minorHAnsi"/>
          <w:b/>
          <w:bCs/>
          <w:sz w:val="28"/>
          <w:szCs w:val="28"/>
        </w:rPr>
      </w:pPr>
    </w:p>
    <w:p w14:paraId="28409093" w14:textId="71396973" w:rsidR="009F12CC" w:rsidRPr="002C192F" w:rsidRDefault="002C192F" w:rsidP="00803950">
      <w:pPr>
        <w:spacing w:line="259" w:lineRule="auto"/>
        <w:ind w:left="540"/>
        <w:rPr>
          <w:rFonts w:asciiTheme="minorHAnsi" w:hAnsiTheme="minorHAnsi" w:cstheme="minorHAnsi"/>
          <w:color w:val="0033CC"/>
          <w:sz w:val="28"/>
          <w:szCs w:val="28"/>
        </w:rPr>
      </w:pPr>
      <w:r w:rsidRPr="002C192F">
        <w:rPr>
          <w:rFonts w:asciiTheme="minorHAnsi" w:hAnsiTheme="minorHAnsi" w:cstheme="minorHAnsi"/>
          <w:color w:val="0033CC"/>
          <w:sz w:val="28"/>
          <w:szCs w:val="28"/>
        </w:rPr>
        <w:t xml:space="preserve">Unfortunately, nothing has changed since May and we still </w:t>
      </w:r>
      <w:proofErr w:type="gramStart"/>
      <w:r w:rsidRPr="002C192F">
        <w:rPr>
          <w:rFonts w:asciiTheme="minorHAnsi" w:hAnsiTheme="minorHAnsi" w:cstheme="minorHAnsi"/>
          <w:color w:val="0033CC"/>
          <w:sz w:val="28"/>
          <w:szCs w:val="28"/>
        </w:rPr>
        <w:t>don’t</w:t>
      </w:r>
      <w:proofErr w:type="gramEnd"/>
      <w:r w:rsidRPr="002C192F">
        <w:rPr>
          <w:rFonts w:asciiTheme="minorHAnsi" w:hAnsiTheme="minorHAnsi" w:cstheme="minorHAnsi"/>
          <w:color w:val="0033CC"/>
          <w:sz w:val="28"/>
          <w:szCs w:val="28"/>
        </w:rPr>
        <w:t xml:space="preserve"> have a great answer.  As we said then, assisted living facilities may not have the ability or willingness to quarantine a resident who develops COVID-19 and protect other residents from acquiring the virus. Having that person stay in the facility may endanger other residents.  If the resident who develops COVID-19 is medically </w:t>
      </w:r>
      <w:r w:rsidRPr="002C192F">
        <w:rPr>
          <w:rFonts w:asciiTheme="minorHAnsi" w:hAnsiTheme="minorHAnsi" w:cstheme="minorHAnsi"/>
          <w:b/>
          <w:bCs/>
          <w:color w:val="0033CC"/>
          <w:sz w:val="28"/>
          <w:szCs w:val="28"/>
        </w:rPr>
        <w:t>unstable</w:t>
      </w:r>
      <w:r w:rsidRPr="002C192F">
        <w:rPr>
          <w:rFonts w:asciiTheme="minorHAnsi" w:hAnsiTheme="minorHAnsi" w:cstheme="minorHAnsi"/>
          <w:color w:val="0033CC"/>
          <w:sz w:val="28"/>
          <w:szCs w:val="28"/>
        </w:rPr>
        <w:t>, he or she will likely be sent to a hospital even if he or she would not want active treatment and it is not likely that any nursing home would accept him while his condition is unstable.  If the resident is stable and is sent to the hospital but does not need or want acute care, the hospital would look for a nursing home that would admit him.  This could be tough if he does not need nursing home level of care.  </w:t>
      </w:r>
      <w:proofErr w:type="gramStart"/>
      <w:r w:rsidRPr="002C192F">
        <w:rPr>
          <w:rFonts w:asciiTheme="minorHAnsi" w:hAnsiTheme="minorHAnsi" w:cstheme="minorHAnsi"/>
          <w:color w:val="0033CC"/>
          <w:sz w:val="28"/>
          <w:szCs w:val="28"/>
        </w:rPr>
        <w:t>So</w:t>
      </w:r>
      <w:proofErr w:type="gramEnd"/>
      <w:r w:rsidRPr="002C192F">
        <w:rPr>
          <w:rFonts w:asciiTheme="minorHAnsi" w:hAnsiTheme="minorHAnsi" w:cstheme="minorHAnsi"/>
          <w:color w:val="0033CC"/>
          <w:sz w:val="28"/>
          <w:szCs w:val="28"/>
        </w:rPr>
        <w:t xml:space="preserve"> we still don’t have a good answer to this question.</w:t>
      </w:r>
    </w:p>
    <w:p w14:paraId="55B8AE35" w14:textId="77777777" w:rsidR="007B6203" w:rsidRPr="007B6203" w:rsidRDefault="007B6203" w:rsidP="00F42C79">
      <w:pPr>
        <w:spacing w:line="259" w:lineRule="auto"/>
        <w:rPr>
          <w:rFonts w:asciiTheme="minorHAnsi" w:hAnsiTheme="minorHAnsi" w:cstheme="minorHAnsi"/>
          <w:color w:val="0033CC"/>
          <w:sz w:val="28"/>
          <w:szCs w:val="28"/>
        </w:rPr>
      </w:pPr>
    </w:p>
    <w:p w14:paraId="7D582D31" w14:textId="306383AC" w:rsidR="002C192F" w:rsidRPr="002C192F" w:rsidRDefault="002C192F" w:rsidP="002C192F">
      <w:pPr>
        <w:pStyle w:val="ListParagraph"/>
        <w:numPr>
          <w:ilvl w:val="0"/>
          <w:numId w:val="17"/>
        </w:numPr>
        <w:spacing w:line="259" w:lineRule="auto"/>
        <w:ind w:left="540" w:hanging="540"/>
        <w:rPr>
          <w:rFonts w:cstheme="minorHAnsi"/>
          <w:b/>
          <w:bCs/>
          <w:sz w:val="28"/>
          <w:szCs w:val="28"/>
        </w:rPr>
      </w:pPr>
      <w:r w:rsidRPr="002C192F">
        <w:rPr>
          <w:rFonts w:cstheme="minorHAnsi"/>
          <w:b/>
          <w:bCs/>
          <w:sz w:val="28"/>
          <w:szCs w:val="28"/>
        </w:rPr>
        <w:t xml:space="preserve">My husband has advanced dementia and cannot speak or make his needs known.  I </w:t>
      </w:r>
      <w:proofErr w:type="gramStart"/>
      <w:r w:rsidRPr="002C192F">
        <w:rPr>
          <w:rFonts w:cstheme="minorHAnsi"/>
          <w:b/>
          <w:bCs/>
          <w:sz w:val="28"/>
          <w:szCs w:val="28"/>
        </w:rPr>
        <w:t>wouldn’t</w:t>
      </w:r>
      <w:proofErr w:type="gramEnd"/>
      <w:r w:rsidRPr="002C192F">
        <w:rPr>
          <w:rFonts w:cstheme="minorHAnsi"/>
          <w:b/>
          <w:bCs/>
          <w:sz w:val="28"/>
          <w:szCs w:val="28"/>
        </w:rPr>
        <w:t xml:space="preserve"> feel comfortable having him go to any nursing home that would accept him.  So if I don’t want him going to a random nursing home, can he receive palliative care at the hospital or can I bring him home with services to help me take care of him?</w:t>
      </w:r>
    </w:p>
    <w:p w14:paraId="528F9A05" w14:textId="77777777" w:rsidR="007317A4" w:rsidRDefault="007317A4" w:rsidP="007317A4">
      <w:pPr>
        <w:pStyle w:val="ListParagraph"/>
        <w:spacing w:line="259" w:lineRule="auto"/>
        <w:ind w:left="540"/>
        <w:rPr>
          <w:rFonts w:cstheme="minorHAnsi"/>
          <w:color w:val="0033CC"/>
          <w:sz w:val="28"/>
          <w:szCs w:val="28"/>
        </w:rPr>
      </w:pPr>
    </w:p>
    <w:p w14:paraId="4128A993" w14:textId="09CD87DB" w:rsidR="002C192F" w:rsidRPr="002C192F" w:rsidRDefault="002C192F" w:rsidP="002C192F">
      <w:pPr>
        <w:pStyle w:val="ListParagraph"/>
        <w:spacing w:line="259" w:lineRule="auto"/>
        <w:ind w:left="540"/>
        <w:rPr>
          <w:rFonts w:cstheme="minorHAnsi"/>
          <w:color w:val="0033CC"/>
          <w:sz w:val="28"/>
          <w:szCs w:val="28"/>
        </w:rPr>
      </w:pPr>
      <w:r w:rsidRPr="002C192F">
        <w:rPr>
          <w:rFonts w:cstheme="minorHAnsi"/>
          <w:color w:val="0033CC"/>
          <w:sz w:val="28"/>
          <w:szCs w:val="28"/>
        </w:rPr>
        <w:t xml:space="preserve">Those do sound like your other options.  The hospital may not be willing to keep your husband for </w:t>
      </w:r>
      <w:proofErr w:type="gramStart"/>
      <w:r w:rsidRPr="002C192F">
        <w:rPr>
          <w:rFonts w:cstheme="minorHAnsi"/>
          <w:color w:val="0033CC"/>
          <w:sz w:val="28"/>
          <w:szCs w:val="28"/>
        </w:rPr>
        <w:t>very long</w:t>
      </w:r>
      <w:proofErr w:type="gramEnd"/>
      <w:r w:rsidRPr="002C192F">
        <w:rPr>
          <w:rFonts w:cstheme="minorHAnsi"/>
          <w:color w:val="0033CC"/>
          <w:sz w:val="28"/>
          <w:szCs w:val="28"/>
        </w:rPr>
        <w:t xml:space="preserve">, but he could receive palliative care or hospice care at the hospital while he is there.  You could also choose to bring him home with hospice care and, we hope, other services he might qualify for to help you take care of him.  But we understand that would be a </w:t>
      </w:r>
      <w:proofErr w:type="gramStart"/>
      <w:r w:rsidRPr="002C192F">
        <w:rPr>
          <w:rFonts w:cstheme="minorHAnsi"/>
          <w:color w:val="0033CC"/>
          <w:sz w:val="28"/>
          <w:szCs w:val="28"/>
        </w:rPr>
        <w:t>really big</w:t>
      </w:r>
      <w:proofErr w:type="gramEnd"/>
      <w:r w:rsidRPr="002C192F">
        <w:rPr>
          <w:rFonts w:cstheme="minorHAnsi"/>
          <w:color w:val="0033CC"/>
          <w:sz w:val="28"/>
          <w:szCs w:val="28"/>
        </w:rPr>
        <w:t xml:space="preserve"> challenge for you.</w:t>
      </w:r>
    </w:p>
    <w:p w14:paraId="6E71CAE4" w14:textId="4FFE47F7" w:rsidR="007317A4" w:rsidRDefault="007317A4" w:rsidP="007317A4">
      <w:pPr>
        <w:pStyle w:val="ListParagraph"/>
        <w:spacing w:line="259" w:lineRule="auto"/>
        <w:ind w:left="540"/>
        <w:rPr>
          <w:rFonts w:cstheme="minorHAnsi"/>
          <w:color w:val="0033CC"/>
          <w:sz w:val="28"/>
          <w:szCs w:val="28"/>
        </w:rPr>
      </w:pPr>
    </w:p>
    <w:p w14:paraId="3ED96FDE" w14:textId="3FF86781" w:rsidR="002C192F" w:rsidRPr="002C192F" w:rsidRDefault="002C192F" w:rsidP="002C192F">
      <w:pPr>
        <w:pStyle w:val="ListParagraph"/>
        <w:numPr>
          <w:ilvl w:val="0"/>
          <w:numId w:val="17"/>
        </w:numPr>
        <w:spacing w:line="259" w:lineRule="auto"/>
        <w:ind w:left="540" w:hanging="540"/>
        <w:rPr>
          <w:rFonts w:cstheme="minorHAnsi"/>
          <w:b/>
          <w:bCs/>
          <w:sz w:val="28"/>
          <w:szCs w:val="28"/>
        </w:rPr>
      </w:pPr>
      <w:r w:rsidRPr="002C192F">
        <w:rPr>
          <w:rFonts w:cstheme="minorHAnsi"/>
          <w:b/>
          <w:bCs/>
          <w:sz w:val="28"/>
          <w:szCs w:val="28"/>
        </w:rPr>
        <w:t>Is everything you said true even for residents who test positive but are asymptomatic?</w:t>
      </w:r>
    </w:p>
    <w:p w14:paraId="2900195F" w14:textId="36A56E91" w:rsidR="007B6203" w:rsidRPr="002C192F" w:rsidRDefault="007B6203" w:rsidP="002C192F">
      <w:pPr>
        <w:spacing w:line="259" w:lineRule="auto"/>
        <w:rPr>
          <w:rFonts w:cstheme="minorHAnsi"/>
          <w:b/>
          <w:bCs/>
          <w:sz w:val="28"/>
          <w:szCs w:val="28"/>
        </w:rPr>
      </w:pPr>
    </w:p>
    <w:p w14:paraId="4DA8B875" w14:textId="4A42A4C8" w:rsidR="00A8698C" w:rsidRPr="00CC58BE" w:rsidRDefault="007317A4" w:rsidP="00D270DC">
      <w:pPr>
        <w:spacing w:after="120" w:line="259" w:lineRule="auto"/>
        <w:ind w:left="540"/>
      </w:pPr>
      <w:bookmarkStart w:id="0" w:name="_Hlk51161846"/>
      <w:r w:rsidRPr="002C192F">
        <w:rPr>
          <w:rFonts w:asciiTheme="minorHAnsi" w:hAnsiTheme="minorHAnsi" w:cstheme="minorHAnsi"/>
          <w:color w:val="0033CC"/>
          <w:sz w:val="28"/>
          <w:szCs w:val="28"/>
        </w:rPr>
        <w:t>Yes</w:t>
      </w:r>
      <w:r w:rsidR="002C192F" w:rsidRPr="002C192F">
        <w:rPr>
          <w:rFonts w:asciiTheme="minorHAnsi" w:hAnsiTheme="minorHAnsi" w:cstheme="minorHAnsi"/>
          <w:color w:val="0033CC"/>
          <w:sz w:val="28"/>
          <w:szCs w:val="28"/>
        </w:rPr>
        <w:t xml:space="preserve">. </w:t>
      </w:r>
      <w:r w:rsidR="002C192F" w:rsidRPr="002C192F">
        <w:rPr>
          <w:rFonts w:asciiTheme="minorHAnsi" w:hAnsiTheme="minorHAnsi" w:cstheme="minorHAnsi"/>
          <w:color w:val="0033CC"/>
          <w:sz w:val="28"/>
          <w:szCs w:val="28"/>
        </w:rPr>
        <w:t xml:space="preserve">An assisted living facility does not have to take care of COVID-positive residents if it is unable or unwilling to quarantine them and protect staff and residents appropriately.  This is true </w:t>
      </w:r>
      <w:proofErr w:type="gramStart"/>
      <w:r w:rsidR="002C192F" w:rsidRPr="002C192F">
        <w:rPr>
          <w:rFonts w:asciiTheme="minorHAnsi" w:hAnsiTheme="minorHAnsi" w:cstheme="minorHAnsi"/>
          <w:color w:val="0033CC"/>
          <w:sz w:val="28"/>
          <w:szCs w:val="28"/>
        </w:rPr>
        <w:t>whether or not</w:t>
      </w:r>
      <w:proofErr w:type="gramEnd"/>
      <w:r w:rsidR="002C192F" w:rsidRPr="002C192F">
        <w:rPr>
          <w:rFonts w:asciiTheme="minorHAnsi" w:hAnsiTheme="minorHAnsi" w:cstheme="minorHAnsi"/>
          <w:color w:val="0033CC"/>
          <w:sz w:val="28"/>
          <w:szCs w:val="28"/>
        </w:rPr>
        <w:t xml:space="preserve"> the COVID positive resident is symptomatic.  We understand it seems very cruel to transfer someone in your husband’s condition if he is not even appearing to be ill with COVID, but if he tests positive, the issue becomes how to best protect staff and other residents</w:t>
      </w:r>
      <w:r w:rsidR="002C192F" w:rsidRPr="002C192F">
        <w:rPr>
          <w:rFonts w:asciiTheme="minorHAnsi" w:hAnsiTheme="minorHAnsi" w:cstheme="minorHAnsi"/>
          <w:i/>
          <w:iCs/>
          <w:color w:val="0033CC"/>
          <w:sz w:val="28"/>
          <w:szCs w:val="28"/>
        </w:rPr>
        <w:t>.</w:t>
      </w:r>
      <w:r>
        <w:rPr>
          <w:rFonts w:asciiTheme="minorHAnsi" w:hAnsiTheme="minorHAnsi" w:cstheme="minorHAnsi"/>
          <w:color w:val="0033CC"/>
          <w:sz w:val="28"/>
          <w:szCs w:val="28"/>
        </w:rPr>
        <w:t xml:space="preserve">  </w:t>
      </w:r>
      <w:bookmarkEnd w:id="0"/>
    </w:p>
    <w:p w14:paraId="281A885B" w14:textId="77777777" w:rsidR="007B6203" w:rsidRDefault="007B6203" w:rsidP="00F42C79">
      <w:pPr>
        <w:spacing w:line="259" w:lineRule="auto"/>
        <w:rPr>
          <w:rFonts w:asciiTheme="minorHAnsi" w:hAnsiTheme="minorHAnsi" w:cstheme="minorHAnsi"/>
          <w:b/>
          <w:bCs/>
          <w:sz w:val="28"/>
          <w:szCs w:val="28"/>
        </w:rPr>
      </w:pPr>
    </w:p>
    <w:p w14:paraId="2571D5C9" w14:textId="3651CE0F" w:rsidR="007B6203" w:rsidRPr="002C192F" w:rsidRDefault="002C192F" w:rsidP="002C192F">
      <w:pPr>
        <w:pStyle w:val="ListParagraph"/>
        <w:numPr>
          <w:ilvl w:val="0"/>
          <w:numId w:val="17"/>
        </w:numPr>
        <w:tabs>
          <w:tab w:val="left" w:pos="540"/>
        </w:tabs>
        <w:spacing w:line="259" w:lineRule="auto"/>
        <w:ind w:left="540" w:hanging="540"/>
        <w:rPr>
          <w:rFonts w:cstheme="minorHAnsi"/>
          <w:b/>
          <w:bCs/>
          <w:sz w:val="28"/>
          <w:szCs w:val="28"/>
        </w:rPr>
      </w:pPr>
      <w:r w:rsidRPr="002C192F">
        <w:rPr>
          <w:rFonts w:cstheme="minorHAnsi"/>
          <w:b/>
          <w:bCs/>
          <w:sz w:val="28"/>
          <w:szCs w:val="28"/>
        </w:rPr>
        <w:t xml:space="preserve">I was curious if the health departments had made "rapid testing" kits available to LTC facilities so they can know if residents are </w:t>
      </w:r>
      <w:r>
        <w:rPr>
          <w:rFonts w:cstheme="minorHAnsi"/>
          <w:b/>
          <w:bCs/>
          <w:sz w:val="28"/>
          <w:szCs w:val="28"/>
        </w:rPr>
        <w:t>C</w:t>
      </w:r>
      <w:r w:rsidRPr="002C192F">
        <w:rPr>
          <w:rFonts w:cstheme="minorHAnsi"/>
          <w:b/>
          <w:bCs/>
          <w:sz w:val="28"/>
          <w:szCs w:val="28"/>
        </w:rPr>
        <w:t>OVID-19</w:t>
      </w:r>
      <w:r w:rsidRPr="002C192F">
        <w:rPr>
          <w:rFonts w:cstheme="minorHAnsi"/>
          <w:b/>
          <w:bCs/>
          <w:sz w:val="28"/>
          <w:szCs w:val="28"/>
        </w:rPr>
        <w:t xml:space="preserve"> + before sending them out for treatment.  My husband is in hospice and it </w:t>
      </w:r>
      <w:proofErr w:type="gramStart"/>
      <w:r w:rsidRPr="002C192F">
        <w:rPr>
          <w:rFonts w:cstheme="minorHAnsi"/>
          <w:b/>
          <w:bCs/>
          <w:sz w:val="28"/>
          <w:szCs w:val="28"/>
        </w:rPr>
        <w:t>doesn't</w:t>
      </w:r>
      <w:proofErr w:type="gramEnd"/>
      <w:r w:rsidRPr="002C192F">
        <w:rPr>
          <w:rFonts w:cstheme="minorHAnsi"/>
          <w:b/>
          <w:bCs/>
          <w:sz w:val="28"/>
          <w:szCs w:val="28"/>
        </w:rPr>
        <w:t xml:space="preserve"> make sense to send him to the hospital to see if he is positive.  </w:t>
      </w:r>
    </w:p>
    <w:p w14:paraId="5AFA9939" w14:textId="77777777" w:rsidR="007B6203" w:rsidRDefault="007B6203" w:rsidP="00F42C79">
      <w:pPr>
        <w:spacing w:line="259" w:lineRule="auto"/>
        <w:rPr>
          <w:rFonts w:asciiTheme="minorHAnsi" w:hAnsiTheme="minorHAnsi" w:cstheme="minorHAnsi"/>
          <w:color w:val="0033CC"/>
          <w:sz w:val="28"/>
          <w:szCs w:val="28"/>
        </w:rPr>
      </w:pPr>
    </w:p>
    <w:p w14:paraId="44B57208" w14:textId="72200B3A" w:rsidR="00CC58BE" w:rsidRDefault="002C192F" w:rsidP="00D270DC">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At this time, rapid testing kits are not </w:t>
      </w:r>
      <w:proofErr w:type="gramStart"/>
      <w:r>
        <w:rPr>
          <w:rFonts w:asciiTheme="minorHAnsi" w:hAnsiTheme="minorHAnsi" w:cstheme="minorHAnsi"/>
          <w:color w:val="0033CC"/>
          <w:sz w:val="28"/>
          <w:szCs w:val="28"/>
        </w:rPr>
        <w:t>being distributed</w:t>
      </w:r>
      <w:proofErr w:type="gramEnd"/>
      <w:r>
        <w:rPr>
          <w:rFonts w:asciiTheme="minorHAnsi" w:hAnsiTheme="minorHAnsi" w:cstheme="minorHAnsi"/>
          <w:color w:val="0033CC"/>
          <w:sz w:val="28"/>
          <w:szCs w:val="28"/>
        </w:rPr>
        <w:t xml:space="preserve"> to long term care facilities.   MDHHS has a testing workgroup that is coordinating with the Michigan National Guard to offer testing site throughout the state and is supporting on-site testing at nursing homes.</w:t>
      </w:r>
    </w:p>
    <w:p w14:paraId="539253E1" w14:textId="77777777" w:rsidR="0091745F" w:rsidRPr="007B6203" w:rsidRDefault="0091745F" w:rsidP="00F42C79">
      <w:pPr>
        <w:spacing w:line="259" w:lineRule="auto"/>
        <w:rPr>
          <w:rFonts w:asciiTheme="minorHAnsi" w:hAnsiTheme="minorHAnsi" w:cstheme="minorHAnsi"/>
          <w:b/>
          <w:bCs/>
          <w:sz w:val="28"/>
          <w:szCs w:val="28"/>
        </w:rPr>
      </w:pPr>
    </w:p>
    <w:p w14:paraId="6C06995F" w14:textId="5165C2D6" w:rsidR="007B6203" w:rsidRPr="00E62409" w:rsidRDefault="002C192F" w:rsidP="00294DAB">
      <w:pPr>
        <w:pStyle w:val="ListParagraph"/>
        <w:numPr>
          <w:ilvl w:val="0"/>
          <w:numId w:val="17"/>
        </w:numPr>
        <w:spacing w:line="259" w:lineRule="auto"/>
        <w:ind w:left="547" w:hanging="547"/>
        <w:contextualSpacing w:val="0"/>
        <w:rPr>
          <w:rFonts w:cstheme="minorHAnsi"/>
          <w:sz w:val="28"/>
          <w:szCs w:val="28"/>
        </w:rPr>
      </w:pPr>
      <w:r w:rsidRPr="002C192F">
        <w:rPr>
          <w:rFonts w:cstheme="minorHAnsi"/>
          <w:b/>
          <w:bCs/>
          <w:sz w:val="28"/>
          <w:szCs w:val="28"/>
        </w:rPr>
        <w:t xml:space="preserve">Are residents at assisted living facilities </w:t>
      </w:r>
      <w:proofErr w:type="gramStart"/>
      <w:r w:rsidRPr="002C192F">
        <w:rPr>
          <w:rFonts w:cstheme="minorHAnsi"/>
          <w:b/>
          <w:bCs/>
          <w:sz w:val="28"/>
          <w:szCs w:val="28"/>
        </w:rPr>
        <w:t>being sent</w:t>
      </w:r>
      <w:proofErr w:type="gramEnd"/>
      <w:r w:rsidRPr="002C192F">
        <w:rPr>
          <w:rFonts w:cstheme="minorHAnsi"/>
          <w:b/>
          <w:bCs/>
          <w:sz w:val="28"/>
          <w:szCs w:val="28"/>
        </w:rPr>
        <w:t xml:space="preserve"> out of the facility to testing centers to get tested for COVID or will the tests be done on-site?  It seems sending residents out to </w:t>
      </w:r>
      <w:proofErr w:type="gramStart"/>
      <w:r w:rsidRPr="002C192F">
        <w:rPr>
          <w:rFonts w:cstheme="minorHAnsi"/>
          <w:b/>
          <w:bCs/>
          <w:sz w:val="28"/>
          <w:szCs w:val="28"/>
        </w:rPr>
        <w:t>get tested</w:t>
      </w:r>
      <w:proofErr w:type="gramEnd"/>
      <w:r w:rsidRPr="002C192F">
        <w:rPr>
          <w:rFonts w:cstheme="minorHAnsi"/>
          <w:b/>
          <w:bCs/>
          <w:sz w:val="28"/>
          <w:szCs w:val="28"/>
        </w:rPr>
        <w:t xml:space="preserve"> might put them at greater risk of being exposed to COVID!</w:t>
      </w:r>
    </w:p>
    <w:p w14:paraId="0B208885" w14:textId="6EFFEE7B" w:rsidR="00E62409" w:rsidRDefault="00E62409" w:rsidP="00E62409">
      <w:pPr>
        <w:spacing w:line="259" w:lineRule="auto"/>
        <w:rPr>
          <w:rFonts w:cstheme="minorHAnsi"/>
          <w:sz w:val="28"/>
          <w:szCs w:val="28"/>
        </w:rPr>
      </w:pPr>
    </w:p>
    <w:p w14:paraId="79B2B3D8" w14:textId="7B5B044C" w:rsidR="00CC58BE" w:rsidRDefault="00CC58BE" w:rsidP="002C192F">
      <w:pPr>
        <w:spacing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lastRenderedPageBreak/>
        <w:t>The</w:t>
      </w:r>
      <w:r w:rsidR="002C192F">
        <w:rPr>
          <w:rFonts w:asciiTheme="minorHAnsi" w:hAnsiTheme="minorHAnsi" w:cstheme="minorHAnsi"/>
          <w:color w:val="0033CC"/>
          <w:sz w:val="28"/>
          <w:szCs w:val="28"/>
        </w:rPr>
        <w:t xml:space="preserve"> state is discussing the option of the National Guard supporting testing in various long term care settings, but the National Guard’s role if any in testing at other long term care settings has not been finalized.  At this time, the only </w:t>
      </w:r>
      <w:proofErr w:type="gramStart"/>
      <w:r w:rsidR="002C192F">
        <w:rPr>
          <w:rFonts w:asciiTheme="minorHAnsi" w:hAnsiTheme="minorHAnsi" w:cstheme="minorHAnsi"/>
          <w:color w:val="0033CC"/>
          <w:sz w:val="28"/>
          <w:szCs w:val="28"/>
        </w:rPr>
        <w:t>option</w:t>
      </w:r>
      <w:proofErr w:type="gramEnd"/>
      <w:r w:rsidR="002C192F">
        <w:rPr>
          <w:rFonts w:asciiTheme="minorHAnsi" w:hAnsiTheme="minorHAnsi" w:cstheme="minorHAnsi"/>
          <w:color w:val="0033CC"/>
          <w:sz w:val="28"/>
          <w:szCs w:val="28"/>
        </w:rPr>
        <w:t xml:space="preserve"> for testing if the facility is not providing it, is to go off site to be tested.</w:t>
      </w:r>
    </w:p>
    <w:p w14:paraId="3761B593" w14:textId="77777777" w:rsidR="002C192F" w:rsidRPr="005D7127" w:rsidRDefault="002C192F" w:rsidP="002C192F">
      <w:pPr>
        <w:spacing w:line="259" w:lineRule="auto"/>
        <w:ind w:left="547"/>
        <w:rPr>
          <w:rFonts w:cstheme="minorHAnsi"/>
          <w:color w:val="0033CC"/>
          <w:sz w:val="28"/>
          <w:szCs w:val="28"/>
        </w:rPr>
      </w:pPr>
    </w:p>
    <w:p w14:paraId="770760C0" w14:textId="1D31FC6F" w:rsidR="00294DAB" w:rsidRDefault="002C192F" w:rsidP="00294DAB">
      <w:pPr>
        <w:pStyle w:val="ListParagraph"/>
        <w:numPr>
          <w:ilvl w:val="0"/>
          <w:numId w:val="17"/>
        </w:numPr>
        <w:spacing w:line="259" w:lineRule="auto"/>
        <w:ind w:left="547" w:hanging="547"/>
        <w:contextualSpacing w:val="0"/>
        <w:rPr>
          <w:rFonts w:cstheme="minorHAnsi"/>
          <w:b/>
          <w:bCs/>
          <w:sz w:val="28"/>
          <w:szCs w:val="28"/>
        </w:rPr>
      </w:pPr>
      <w:r w:rsidRPr="002C192F">
        <w:rPr>
          <w:rFonts w:cstheme="minorHAnsi"/>
          <w:b/>
          <w:bCs/>
          <w:sz w:val="28"/>
          <w:szCs w:val="28"/>
        </w:rPr>
        <w:t>Has the Governor’s Nursing Home Task Force finished its recommendations yet?   What do they say?</w:t>
      </w:r>
      <w:r w:rsidR="005D7127" w:rsidRPr="005D7127">
        <w:rPr>
          <w:rFonts w:cstheme="minorHAnsi"/>
          <w:b/>
          <w:bCs/>
          <w:sz w:val="28"/>
          <w:szCs w:val="28"/>
        </w:rPr>
        <w:t xml:space="preserve">  </w:t>
      </w:r>
    </w:p>
    <w:p w14:paraId="44A08BEF" w14:textId="77777777" w:rsidR="005D7127" w:rsidRPr="005D7127" w:rsidRDefault="005D7127" w:rsidP="005D7127">
      <w:pPr>
        <w:pStyle w:val="ListParagraph"/>
        <w:spacing w:line="259" w:lineRule="auto"/>
        <w:ind w:left="547"/>
        <w:contextualSpacing w:val="0"/>
        <w:rPr>
          <w:rFonts w:cstheme="minorHAnsi"/>
          <w:b/>
          <w:bCs/>
          <w:sz w:val="28"/>
          <w:szCs w:val="28"/>
        </w:rPr>
      </w:pPr>
    </w:p>
    <w:p w14:paraId="1E51EAAB" w14:textId="06665495" w:rsidR="005D7127" w:rsidRPr="005D7127" w:rsidRDefault="002C192F" w:rsidP="00D270DC">
      <w:pPr>
        <w:spacing w:after="120"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The Task Force has until August 31</w:t>
      </w:r>
      <w:r w:rsidRPr="002C192F">
        <w:rPr>
          <w:rFonts w:asciiTheme="minorHAnsi" w:hAnsiTheme="minorHAnsi" w:cstheme="minorHAnsi"/>
          <w:color w:val="0033CC"/>
          <w:sz w:val="28"/>
          <w:szCs w:val="28"/>
          <w:vertAlign w:val="superscript"/>
        </w:rPr>
        <w:t>st</w:t>
      </w:r>
      <w:r>
        <w:rPr>
          <w:rFonts w:asciiTheme="minorHAnsi" w:hAnsiTheme="minorHAnsi" w:cstheme="minorHAnsi"/>
          <w:color w:val="0033CC"/>
          <w:sz w:val="28"/>
          <w:szCs w:val="28"/>
        </w:rPr>
        <w:t xml:space="preserve"> to </w:t>
      </w:r>
      <w:proofErr w:type="gramStart"/>
      <w:r>
        <w:rPr>
          <w:rFonts w:asciiTheme="minorHAnsi" w:hAnsiTheme="minorHAnsi" w:cstheme="minorHAnsi"/>
          <w:color w:val="0033CC"/>
          <w:sz w:val="28"/>
          <w:szCs w:val="28"/>
        </w:rPr>
        <w:t>submit</w:t>
      </w:r>
      <w:proofErr w:type="gramEnd"/>
      <w:r>
        <w:rPr>
          <w:rFonts w:asciiTheme="minorHAnsi" w:hAnsiTheme="minorHAnsi" w:cstheme="minorHAnsi"/>
          <w:color w:val="0033CC"/>
          <w:sz w:val="28"/>
          <w:szCs w:val="28"/>
        </w:rPr>
        <w:t xml:space="preserve"> its final recommendations to the Governor.  Once the recommendations are available, we will be happy to review those on our call.  Remember there are four workgroups charged with addressing staffing, PPE, testing and Quality of Life for residents.</w:t>
      </w:r>
    </w:p>
    <w:sectPr w:rsidR="005D7127" w:rsidRPr="005D7127" w:rsidSect="000507C2">
      <w:headerReference w:type="default" r:id="rId11"/>
      <w:headerReference w:type="first" r:id="rId12"/>
      <w:footerReference w:type="first" r:id="rId13"/>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186F3" w14:textId="77777777" w:rsidR="009B2D30" w:rsidRDefault="009B2D30" w:rsidP="00273A9F">
      <w:r>
        <w:separator/>
      </w:r>
    </w:p>
  </w:endnote>
  <w:endnote w:type="continuationSeparator" w:id="0">
    <w:p w14:paraId="3B4C3557" w14:textId="77777777" w:rsidR="009B2D30" w:rsidRDefault="009B2D30"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7D026F8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73 </w:t>
    </w:r>
    <w:r>
      <w:rPr>
        <w:sz w:val="24"/>
        <w:szCs w:val="24"/>
      </w:rPr>
      <w:t xml:space="preserve"> </w:t>
    </w:r>
    <w:r w:rsidRPr="00273A9F">
      <w:rPr>
        <w:color w:val="548DD4" w:themeColor="text2" w:themeTint="99"/>
        <w:szCs w:val="24"/>
      </w:rPr>
      <w:t>●</w:t>
    </w:r>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r>
      <w:rPr>
        <w:sz w:val="24"/>
        <w:szCs w:val="24"/>
      </w:rPr>
      <w:t>8040</w:t>
    </w:r>
    <w:r w:rsidRPr="00273A9F">
      <w:rPr>
        <w:sz w:val="24"/>
        <w:szCs w:val="24"/>
      </w:rPr>
      <w:t xml:space="preserve">  </w:t>
    </w:r>
    <w:r w:rsidRPr="00273A9F">
      <w:rPr>
        <w:color w:val="548DD4" w:themeColor="text2" w:themeTint="99"/>
        <w:szCs w:val="24"/>
      </w:rPr>
      <w:t>●</w:t>
    </w:r>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BEE0" w14:textId="77777777" w:rsidR="009B2D30" w:rsidRDefault="009B2D30" w:rsidP="00273A9F">
      <w:r>
        <w:separator/>
      </w:r>
    </w:p>
  </w:footnote>
  <w:footnote w:type="continuationSeparator" w:id="0">
    <w:p w14:paraId="74C70A07" w14:textId="77777777" w:rsidR="009B2D30" w:rsidRDefault="009B2D30"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723155EC" w:rsidR="00273A9F" w:rsidRDefault="00713887">
    <w:pPr>
      <w:pStyle w:val="Header"/>
    </w:pPr>
    <w:r>
      <w:t xml:space="preserve">Version </w:t>
    </w:r>
    <w:r w:rsidR="000507C2">
      <w:t>Date</w:t>
    </w:r>
    <w:r>
      <w:t xml:space="preserve">:  </w:t>
    </w:r>
    <w:r w:rsidR="002C192F">
      <w:t>August 19,</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r w:rsidR="002C192F">
      <w:fldChar w:fldCharType="begin"/>
    </w:r>
    <w:r w:rsidR="002C192F">
      <w:instrText xml:space="preserve"> NUMPAGES  \* Arabic  \* MERGEFORMAT </w:instrText>
    </w:r>
    <w:r w:rsidR="002C192F">
      <w:fldChar w:fldCharType="separate"/>
    </w:r>
    <w:r w:rsidRPr="00713887">
      <w:rPr>
        <w:noProof/>
      </w:rPr>
      <w:t>2</w:t>
    </w:r>
    <w:r w:rsidR="002C192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31C43B6F"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7AEB"/>
    <w:multiLevelType w:val="hybridMultilevel"/>
    <w:tmpl w:val="AAEE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1C9"/>
    <w:multiLevelType w:val="hybridMultilevel"/>
    <w:tmpl w:val="D374ACFE"/>
    <w:lvl w:ilvl="0" w:tplc="A686F7A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3706"/>
    <w:multiLevelType w:val="hybridMultilevel"/>
    <w:tmpl w:val="6368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A5997"/>
    <w:multiLevelType w:val="hybridMultilevel"/>
    <w:tmpl w:val="4E3EF482"/>
    <w:lvl w:ilvl="0" w:tplc="8D8A4D7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D7D91"/>
    <w:multiLevelType w:val="hybridMultilevel"/>
    <w:tmpl w:val="F482ADD0"/>
    <w:lvl w:ilvl="0" w:tplc="A558A3B8">
      <w:start w:val="1"/>
      <w:numFmt w:val="decimal"/>
      <w:lvlText w:val="%1."/>
      <w:lvlJc w:val="left"/>
      <w:pPr>
        <w:ind w:left="720" w:hanging="360"/>
      </w:pPr>
      <w:rPr>
        <w:rFonts w:hint="default"/>
        <w:b/>
        <w:bCs/>
      </w:rPr>
    </w:lvl>
    <w:lvl w:ilvl="1" w:tplc="F60A81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64C7F"/>
    <w:multiLevelType w:val="hybridMultilevel"/>
    <w:tmpl w:val="AE76729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8FA55AE"/>
    <w:multiLevelType w:val="hybridMultilevel"/>
    <w:tmpl w:val="5D6421D4"/>
    <w:lvl w:ilvl="0" w:tplc="0C929A52">
      <w:start w:val="1"/>
      <w:numFmt w:val="bullet"/>
      <w:lvlText w:val=""/>
      <w:lvlJc w:val="left"/>
      <w:pPr>
        <w:ind w:left="720" w:hanging="360"/>
      </w:pPr>
      <w:rPr>
        <w:rFonts w:ascii="Symbol" w:hAnsi="Symbol"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74FB9"/>
    <w:multiLevelType w:val="hybridMultilevel"/>
    <w:tmpl w:val="E8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A52A4"/>
    <w:multiLevelType w:val="hybridMultilevel"/>
    <w:tmpl w:val="300A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20"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F3013"/>
    <w:multiLevelType w:val="hybridMultilevel"/>
    <w:tmpl w:val="1B2024FA"/>
    <w:lvl w:ilvl="0" w:tplc="F60A81BC">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0"/>
  </w:num>
  <w:num w:numId="3">
    <w:abstractNumId w:val="3"/>
  </w:num>
  <w:num w:numId="4">
    <w:abstractNumId w:val="11"/>
  </w:num>
  <w:num w:numId="5">
    <w:abstractNumId w:val="7"/>
  </w:num>
  <w:num w:numId="6">
    <w:abstractNumId w:val="13"/>
  </w:num>
  <w:num w:numId="7">
    <w:abstractNumId w:val="15"/>
  </w:num>
  <w:num w:numId="8">
    <w:abstractNumId w:val="10"/>
  </w:num>
  <w:num w:numId="9">
    <w:abstractNumId w:val="0"/>
  </w:num>
  <w:num w:numId="10">
    <w:abstractNumId w:val="5"/>
  </w:num>
  <w:num w:numId="11">
    <w:abstractNumId w:val="16"/>
  </w:num>
  <w:num w:numId="12">
    <w:abstractNumId w:val="9"/>
  </w:num>
  <w:num w:numId="13">
    <w:abstractNumId w:val="6"/>
  </w:num>
  <w:num w:numId="14">
    <w:abstractNumId w:val="2"/>
  </w:num>
  <w:num w:numId="15">
    <w:abstractNumId w:val="1"/>
  </w:num>
  <w:num w:numId="16">
    <w:abstractNumId w:val="17"/>
  </w:num>
  <w:num w:numId="17">
    <w:abstractNumId w:val="12"/>
  </w:num>
  <w:num w:numId="18">
    <w:abstractNumId w:val="4"/>
  </w:num>
  <w:num w:numId="19">
    <w:abstractNumId w:val="18"/>
  </w:num>
  <w:num w:numId="20">
    <w:abstractNumId w:val="8"/>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07F47"/>
    <w:rsid w:val="00032CE0"/>
    <w:rsid w:val="00042913"/>
    <w:rsid w:val="000507C2"/>
    <w:rsid w:val="00077022"/>
    <w:rsid w:val="000A3C84"/>
    <w:rsid w:val="000B0683"/>
    <w:rsid w:val="000C6DA0"/>
    <w:rsid w:val="000D5C50"/>
    <w:rsid w:val="001552B0"/>
    <w:rsid w:val="001F2EA6"/>
    <w:rsid w:val="001F4093"/>
    <w:rsid w:val="00244994"/>
    <w:rsid w:val="00247489"/>
    <w:rsid w:val="002653B0"/>
    <w:rsid w:val="00273A9F"/>
    <w:rsid w:val="00294DAB"/>
    <w:rsid w:val="002C192F"/>
    <w:rsid w:val="00312A2A"/>
    <w:rsid w:val="0032573F"/>
    <w:rsid w:val="003650A3"/>
    <w:rsid w:val="003A1C8A"/>
    <w:rsid w:val="003B671B"/>
    <w:rsid w:val="003C38CF"/>
    <w:rsid w:val="003D01FF"/>
    <w:rsid w:val="003F1A0A"/>
    <w:rsid w:val="00402E55"/>
    <w:rsid w:val="004370FA"/>
    <w:rsid w:val="00460EC6"/>
    <w:rsid w:val="004736DC"/>
    <w:rsid w:val="004777CF"/>
    <w:rsid w:val="00497262"/>
    <w:rsid w:val="00550101"/>
    <w:rsid w:val="00557AC4"/>
    <w:rsid w:val="00581F92"/>
    <w:rsid w:val="005878A3"/>
    <w:rsid w:val="005A2993"/>
    <w:rsid w:val="005B27AE"/>
    <w:rsid w:val="005C79CA"/>
    <w:rsid w:val="005D7127"/>
    <w:rsid w:val="00640C72"/>
    <w:rsid w:val="00643BE9"/>
    <w:rsid w:val="00684512"/>
    <w:rsid w:val="006912A2"/>
    <w:rsid w:val="006A6B32"/>
    <w:rsid w:val="006B72AB"/>
    <w:rsid w:val="007079BF"/>
    <w:rsid w:val="00713887"/>
    <w:rsid w:val="00721AA7"/>
    <w:rsid w:val="007317A4"/>
    <w:rsid w:val="007565D1"/>
    <w:rsid w:val="00776B89"/>
    <w:rsid w:val="007919BC"/>
    <w:rsid w:val="0079696B"/>
    <w:rsid w:val="007B0E7A"/>
    <w:rsid w:val="007B201A"/>
    <w:rsid w:val="007B3ABB"/>
    <w:rsid w:val="007B6203"/>
    <w:rsid w:val="007C41B6"/>
    <w:rsid w:val="007F6DBC"/>
    <w:rsid w:val="0080073C"/>
    <w:rsid w:val="00801E86"/>
    <w:rsid w:val="00803950"/>
    <w:rsid w:val="008579A1"/>
    <w:rsid w:val="008829F9"/>
    <w:rsid w:val="008D6254"/>
    <w:rsid w:val="0091745F"/>
    <w:rsid w:val="00945BFC"/>
    <w:rsid w:val="009466FF"/>
    <w:rsid w:val="009828C1"/>
    <w:rsid w:val="00991FCC"/>
    <w:rsid w:val="00992EDC"/>
    <w:rsid w:val="009B2D30"/>
    <w:rsid w:val="009C3D8E"/>
    <w:rsid w:val="009F12CC"/>
    <w:rsid w:val="00A12178"/>
    <w:rsid w:val="00A327C9"/>
    <w:rsid w:val="00A33B05"/>
    <w:rsid w:val="00A632D3"/>
    <w:rsid w:val="00A8698C"/>
    <w:rsid w:val="00A86DF1"/>
    <w:rsid w:val="00AA13A2"/>
    <w:rsid w:val="00AE68BF"/>
    <w:rsid w:val="00B02B14"/>
    <w:rsid w:val="00B516F4"/>
    <w:rsid w:val="00B56172"/>
    <w:rsid w:val="00B73740"/>
    <w:rsid w:val="00B80936"/>
    <w:rsid w:val="00B80B9C"/>
    <w:rsid w:val="00B86537"/>
    <w:rsid w:val="00BE2936"/>
    <w:rsid w:val="00BE6FEA"/>
    <w:rsid w:val="00C125F9"/>
    <w:rsid w:val="00C12C6A"/>
    <w:rsid w:val="00C21B1E"/>
    <w:rsid w:val="00C62ABB"/>
    <w:rsid w:val="00C653EE"/>
    <w:rsid w:val="00CC58BE"/>
    <w:rsid w:val="00CE489B"/>
    <w:rsid w:val="00CF15C1"/>
    <w:rsid w:val="00D270DC"/>
    <w:rsid w:val="00D65F25"/>
    <w:rsid w:val="00D804DB"/>
    <w:rsid w:val="00DA07F1"/>
    <w:rsid w:val="00DA4FBC"/>
    <w:rsid w:val="00E31B00"/>
    <w:rsid w:val="00E62409"/>
    <w:rsid w:val="00E76EB0"/>
    <w:rsid w:val="00E7738D"/>
    <w:rsid w:val="00EA5B64"/>
    <w:rsid w:val="00F0470E"/>
    <w:rsid w:val="00F15451"/>
    <w:rsid w:val="00F42C79"/>
    <w:rsid w:val="00F5455F"/>
    <w:rsid w:val="00F82DB5"/>
    <w:rsid w:val="00F92EB0"/>
    <w:rsid w:val="00F94085"/>
    <w:rsid w:val="00FC61AE"/>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8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12" ma:contentTypeDescription="Create a new document." ma:contentTypeScope="" ma:versionID="54b69d48c5caa2bb27dd9b1deabd9cf3">
  <xsd:schema xmlns:xsd="http://www.w3.org/2001/XMLSchema" xmlns:xs="http://www.w3.org/2001/XMLSchema" xmlns:p="http://schemas.microsoft.com/office/2006/metadata/properties" xmlns:ns2="463f1905-5090-4074-858b-9dc1de3d5996" xmlns:ns3="eb7fe6ed-4c12-4b1b-9b46-8d2a05811263" targetNamespace="http://schemas.microsoft.com/office/2006/metadata/properties" ma:root="true" ma:fieldsID="5732307910bb330ef7cb5b1fc9b43c39" ns2:_="" ns3:_="">
    <xsd:import namespace="463f1905-5090-4074-858b-9dc1de3d5996"/>
    <xsd:import namespace="eb7fe6ed-4c12-4b1b-9b46-8d2a05811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fe6ed-4c12-4b1b-9b46-8d2a058112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DB7E71E7-4C3D-49C1-B18D-73FCA85EDE24}">
  <ds:schemaRefs>
    <ds:schemaRef ds:uri="http://schemas.microsoft.com/office/2006/documentManagement/types"/>
    <ds:schemaRef ds:uri="http://purl.org/dc/elements/1.1/"/>
    <ds:schemaRef ds:uri="http://purl.org/dc/terms/"/>
    <ds:schemaRef ds:uri="http://schemas.microsoft.com/office/2006/metadata/properties"/>
    <ds:schemaRef ds:uri="463f1905-5090-4074-858b-9dc1de3d5996"/>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3E61EE5-0704-4F05-8BBC-3A28B010A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eb7fe6ed-4c12-4b1b-9b46-8d2a05811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2</cp:revision>
  <cp:lastPrinted>2020-05-05T13:07:00Z</cp:lastPrinted>
  <dcterms:created xsi:type="dcterms:W3CDTF">2020-10-24T18:15:00Z</dcterms:created>
  <dcterms:modified xsi:type="dcterms:W3CDTF">2020-10-24T18:15:00Z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